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b w:val="1"/>
          <w:bCs w:val="1"/>
          <w:sz w:val="26"/>
          <w:szCs w:val="26"/>
        </w:rPr>
      </w:pPr>
      <w:r w:rsidDel="00000000" w:rsidR="00000000" w:rsidRPr="00000000">
        <w:rPr>
          <w:b w:val="1"/>
          <w:bCs w:val="1"/>
          <w:sz w:val="26"/>
          <w:szCs w:val="26"/>
          <w:rtl w:val="0"/>
        </w:rPr>
        <w:t xml:space="preserve">Post Operative Extraction</w:t>
      </w:r>
    </w:p>
    <w:p w:rsidR="00000000" w:rsidDel="00000000" w:rsidP="00000000" w:rsidRDefault="00000000" w:rsidRPr="00000000" w14:paraId="000000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bCs w:val="1"/>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Manage Bleeding- </w:t>
      </w: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Pressure stops bleeding.  Bite firmly on 2-3 pieces of gauze. Change the gauze every 20-30 minutes until the bleeding is reduced and finally stops. </w:t>
      </w:r>
      <w:r w:rsidDel="00000000" w:rsidR="00000000" w:rsidRPr="00000000">
        <w:rPr>
          <w:rFonts w:ascii="Calibri" w:cs="Calibri" w:eastAsia="Calibri" w:hAnsi="Calibri"/>
          <w:b w:val="0"/>
          <w:bCs w:val="0"/>
          <w:i w:val="0"/>
          <w:iCs w:val="0"/>
          <w:smallCaps w:val="0"/>
          <w:strike w:val="0"/>
          <w:color w:val="000000"/>
          <w:sz w:val="26"/>
          <w:szCs w:val="26"/>
          <w:u w:val="none"/>
          <w:vertAlign w:val="baseline"/>
          <w:rtl w:val="0"/>
        </w:rPr>
        <w:t xml:space="preserve">En</w:t>
      </w:r>
      <w:r w:rsidDel="00000000" w:rsidR="00000000" w:rsidRPr="00000000">
        <w:rPr>
          <w:sz w:val="26"/>
          <w:szCs w:val="26"/>
          <w:rtl w:val="0"/>
        </w:rPr>
        <w:t xml:space="preserve">sure the new gauze is damp before you place it. If bleeding persists, dampen the black tea bag and place it on the extraction site.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bCs w:val="1"/>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Control Swelling- </w:t>
      </w: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Some Bruising and swelling is to be expected. This can be limited with the use of ice. Ice the area for 20 mins on and 20 mins off throughout the coming days. (1-3 days following the extraction(s).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sz w:val="26"/>
          <w:szCs w:val="26"/>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bCs w:val="1"/>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Don’t Do the Following: </w:t>
      </w: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 Do not suck through a straw, smoke, suck on hard candy, spit forcefully, rinse or drink carbonated or alcoholic beverages for the first 48-72 hours.  Avoid foods that are super-hot in temperature. Room temperature or cold food are better during the first 24 hours.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sz w:val="26"/>
          <w:szCs w:val="26"/>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bCs w:val="1"/>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Limit Activity-</w:t>
      </w: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 The more you move the more your heart beats and it will pump blood everywhere including to where the tooth/teeth used to be.  Take it easy for the first 24-48 hours. Rest is important to healing! Limit activities. No heavy lifting or bending over for long periods of time where all the blood rushes to your head.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sz w:val="26"/>
          <w:szCs w:val="26"/>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bCs w:val="1"/>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Diet-</w:t>
      </w: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 Avoid hard foods, chips, popcorn, or anything with little pieces that can become stuck down in the extraction site. Maintain a soft diet for the first 24-48 hours until it is comfortable to resume normal chewing. Examples include mashed potatoes, macaroni, scrambled eggs, oatmeal, yogurt, bananas, soups (that are not super-hot in temperature), ice cream.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sz w:val="26"/>
          <w:szCs w:val="26"/>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bCs w:val="1"/>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u w:val="none"/>
          <w:shd w:fill="auto" w:val="clear"/>
          <w:vertAlign w:val="baseline"/>
          <w:rtl w:val="0"/>
        </w:rPr>
        <w:t xml:space="preserve">Oral Hygiene-</w:t>
      </w: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 Brush your teeth like normal, brush the teeth surrounding the extraction as best you can. It is important to keep the bacteria level down to help with healing and reduce infection. Gently </w:t>
      </w:r>
      <w:r w:rsidDel="00000000" w:rsidR="00000000" w:rsidRPr="00000000">
        <w:rPr>
          <w:sz w:val="26"/>
          <w:szCs w:val="26"/>
          <w:rtl w:val="0"/>
        </w:rPr>
        <w:t xml:space="preserve">r</w:t>
      </w: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inse with warm saltwater starting the following day at least every time you eat—more if possible.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sz w:val="26"/>
          <w:szCs w:val="26"/>
        </w:rPr>
      </w:pP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sz w:val="26"/>
          <w:szCs w:val="26"/>
        </w:rPr>
      </w:pPr>
      <w:r w:rsidDel="00000000" w:rsidR="00000000" w:rsidRPr="00000000">
        <w:rPr>
          <w:b w:val="1"/>
          <w:bCs w:val="1"/>
          <w:sz w:val="26"/>
          <w:szCs w:val="26"/>
          <w:rtl w:val="0"/>
        </w:rPr>
        <w:t xml:space="preserve">Dry Socket- </w:t>
      </w:r>
      <w:r w:rsidDel="00000000" w:rsidR="00000000" w:rsidRPr="00000000">
        <w:rPr>
          <w:sz w:val="26"/>
          <w:szCs w:val="26"/>
          <w:rtl w:val="0"/>
        </w:rPr>
        <w:t xml:space="preserve">The blood clot that forms in the tooth socket is an important part of the normal healing process. If the blood clot is disturbed and breaks down you can get a dry socket. Dry sockets can be extremely painful. To avoid dry socket it is extremely important that you follow post op instructions.</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Pain Management for Adults</w:t>
      </w:r>
    </w:p>
    <w:tbl>
      <w:tblPr>
        <w:tblStyle w:val="Table1"/>
        <w:tblW w:w="1170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4230"/>
        <w:gridCol w:w="5490"/>
        <w:tblGridChange w:id="0">
          <w:tblGrid>
            <w:gridCol w:w="1980"/>
            <w:gridCol w:w="4230"/>
            <w:gridCol w:w="5490"/>
          </w:tblGrid>
        </w:tblGridChange>
      </w:tblGrid>
      <w:tr>
        <w:trPr>
          <w:cantSplit w:val="0"/>
          <w:tblHeader w:val="0"/>
        </w:trPr>
        <w:tc>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Patients who can take NSAIDS</w:t>
            </w:r>
          </w:p>
        </w:tc>
        <w:tc>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Patients who CANNOT take NSAIDS</w:t>
            </w:r>
          </w:p>
        </w:tc>
      </w:tr>
      <w:tr>
        <w:trPr>
          <w:cantSplit w:val="0"/>
          <w:tblHeader w:val="0"/>
        </w:trPr>
        <w:tc>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Mild Pain</w:t>
            </w:r>
          </w:p>
        </w:tc>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800 mg of Ibuprofen</w:t>
            </w:r>
          </w:p>
        </w:tc>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1000 mg of Acetaminophen</w:t>
            </w:r>
          </w:p>
        </w:tc>
      </w:tr>
      <w:tr>
        <w:trPr>
          <w:cantSplit w:val="0"/>
          <w:tblHeader w:val="0"/>
        </w:trPr>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Moderate Pain</w:t>
            </w:r>
          </w:p>
        </w:tc>
        <w:tc>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800 mg of Ibuprofen + 1000 mg of Acetaminophen</w:t>
            </w:r>
          </w:p>
        </w:tc>
        <w:tc>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Hydrocodone Prescription</w:t>
            </w:r>
          </w:p>
        </w:tc>
      </w:tr>
      <w:tr>
        <w:trPr>
          <w:cantSplit w:val="0"/>
          <w:tblHeader w:val="0"/>
        </w:trPr>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Severe Pain</w:t>
            </w:r>
          </w:p>
        </w:tc>
        <w:tc>
          <w:tcPr>
            <w:gridSpan w:val="2"/>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Please contact our office. Follow the moderate pain management. An antibiotic or steroid may need to be added to the moderate pain regimen. </w:t>
            </w:r>
          </w:p>
        </w:tc>
      </w:tr>
    </w:tbl>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810" w:right="0" w:hanging="360"/>
        <w:jc w:val="left"/>
        <w:rPr>
          <w:rFonts w:ascii="Calibri" w:cs="Calibri" w:eastAsia="Calibri" w:hAnsi="Calibri"/>
          <w:b w:val="1"/>
          <w:bCs w:val="1"/>
          <w:i w:val="0"/>
          <w:iCs w:val="0"/>
          <w:smallCaps w:val="0"/>
          <w:strike w:val="0"/>
          <w:color w:val="000000"/>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Pain Management for Children</w:t>
      </w:r>
    </w:p>
    <w:tbl>
      <w:tblPr>
        <w:tblStyle w:val="Table2"/>
        <w:tblW w:w="1170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01"/>
        <w:gridCol w:w="3626"/>
        <w:gridCol w:w="3673"/>
        <w:tblGridChange w:id="0">
          <w:tblGrid>
            <w:gridCol w:w="4401"/>
            <w:gridCol w:w="3626"/>
            <w:gridCol w:w="3673"/>
          </w:tblGrid>
        </w:tblGridChange>
      </w:tblGrid>
      <w:tr>
        <w:trPr>
          <w:cantSplit w:val="0"/>
          <w:trHeight w:val="620" w:hRule="atLeast"/>
          <w:tblHeader w:val="0"/>
        </w:trPr>
        <w:tc>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Patients who can take NSAIDS</w:t>
            </w:r>
          </w:p>
        </w:tc>
        <w:tc>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Patients who CANNOT take NSAIDS</w:t>
            </w:r>
          </w:p>
        </w:tc>
      </w:tr>
      <w:tr>
        <w:trPr>
          <w:cantSplit w:val="0"/>
          <w:tblHeader w:val="0"/>
        </w:trPr>
        <w:tc>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Mild to Moderate Pain</w:t>
            </w:r>
          </w:p>
        </w:tc>
        <w:tc>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Ibuprofen or Motrin-Follow directions based on the patients age and weight.</w:t>
            </w:r>
          </w:p>
        </w:tc>
        <w:tc>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Acetaminophen-Follow directions based on the patients age and weight. </w:t>
            </w:r>
          </w:p>
        </w:tc>
      </w:tr>
    </w:tbl>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810" w:right="0" w:firstLine="0"/>
        <w:jc w:val="both"/>
        <w:rPr>
          <w:rFonts w:ascii="Calibri" w:cs="Calibri" w:eastAsia="Calibri" w:hAnsi="Calibri"/>
          <w:b w:val="1"/>
          <w:bCs w:val="1"/>
          <w:i w:val="1"/>
          <w:iCs w:val="1"/>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6"/>
          <w:szCs w:val="26"/>
          <w:u w:val="none"/>
          <w:shd w:fill="auto" w:val="clear"/>
          <w:vertAlign w:val="baseline"/>
          <w:rtl w:val="0"/>
        </w:rPr>
        <w:t xml:space="preserve">Advil and Motrin = Ibuprofen   Tylenol = Acetaminophen    Aleve = Naproxen Sodium </w:t>
      </w:r>
    </w:p>
    <w:sectPr>
      <w:headerReference r:id="rId7" w:type="default"/>
      <w:pgSz w:h="15840" w:w="12240" w:orient="portrait"/>
      <w:pgMar w:bottom="173" w:top="288" w:left="288" w:right="28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975734" cy="975734"/>
          <wp:effectExtent b="0" l="0" r="0" t="0"/>
          <wp:docPr descr="A picture containing graphical user interface&#10;&#10;Description automatically generated" id="2" name="image1.png"/>
          <a:graphic>
            <a:graphicData uri="http://schemas.openxmlformats.org/drawingml/2006/picture">
              <pic:pic>
                <pic:nvPicPr>
                  <pic:cNvPr descr="A picture containing graphical user interface&#10;&#10;Description automatically generated" id="0" name="image1.png"/>
                  <pic:cNvPicPr preferRelativeResize="0"/>
                </pic:nvPicPr>
                <pic:blipFill>
                  <a:blip r:embed="rId1"/>
                  <a:srcRect b="0" l="0" r="0" t="0"/>
                  <a:stretch>
                    <a:fillRect/>
                  </a:stretch>
                </pic:blipFill>
                <pic:spPr>
                  <a:xfrm>
                    <a:off x="0" y="0"/>
                    <a:ext cx="975734" cy="975734"/>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Dr. Amber Jaress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1934 W. Lincoln Ave.  Goshen, IN 46526</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 574-533-0722   E:jaressfamilydentistry@gmail.com</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810" w:hanging="360"/>
      </w:pPr>
      <w:rPr>
        <w:rFonts w:ascii="Noto Sans Symbols" w:cs="Noto Sans Symbols" w:eastAsia="Noto Sans Symbols" w:hAnsi="Noto Sans Symbols"/>
      </w:rPr>
    </w:lvl>
    <w:lvl w:ilvl="1">
      <w:start w:val="1"/>
      <w:numFmt w:val="bullet"/>
      <w:lvlText w:val="o"/>
      <w:lvlJc w:val="left"/>
      <w:pPr>
        <w:ind w:left="1530" w:hanging="360"/>
      </w:pPr>
      <w:rPr>
        <w:rFonts w:ascii="Courier New" w:cs="Courier New" w:eastAsia="Courier New" w:hAnsi="Courier New"/>
      </w:rPr>
    </w:lvl>
    <w:lvl w:ilvl="2">
      <w:start w:val="1"/>
      <w:numFmt w:val="bullet"/>
      <w:lvlText w:val="▪"/>
      <w:lvlJc w:val="left"/>
      <w:pPr>
        <w:ind w:left="2250" w:hanging="360"/>
      </w:pPr>
      <w:rPr>
        <w:rFonts w:ascii="Noto Sans Symbols" w:cs="Noto Sans Symbols" w:eastAsia="Noto Sans Symbols" w:hAnsi="Noto Sans Symbols"/>
      </w:rPr>
    </w:lvl>
    <w:lvl w:ilvl="3">
      <w:start w:val="1"/>
      <w:numFmt w:val="bullet"/>
      <w:lvlText w:val="●"/>
      <w:lvlJc w:val="left"/>
      <w:pPr>
        <w:ind w:left="2970" w:hanging="360"/>
      </w:pPr>
      <w:rPr>
        <w:rFonts w:ascii="Noto Sans Symbols" w:cs="Noto Sans Symbols" w:eastAsia="Noto Sans Symbols" w:hAnsi="Noto Sans Symbols"/>
      </w:rPr>
    </w:lvl>
    <w:lvl w:ilvl="4">
      <w:start w:val="1"/>
      <w:numFmt w:val="bullet"/>
      <w:lvlText w:val="o"/>
      <w:lvlJc w:val="left"/>
      <w:pPr>
        <w:ind w:left="3690" w:hanging="360"/>
      </w:pPr>
      <w:rPr>
        <w:rFonts w:ascii="Courier New" w:cs="Courier New" w:eastAsia="Courier New" w:hAnsi="Courier New"/>
      </w:rPr>
    </w:lvl>
    <w:lvl w:ilvl="5">
      <w:start w:val="1"/>
      <w:numFmt w:val="bullet"/>
      <w:lvlText w:val="▪"/>
      <w:lvlJc w:val="left"/>
      <w:pPr>
        <w:ind w:left="4410" w:hanging="360"/>
      </w:pPr>
      <w:rPr>
        <w:rFonts w:ascii="Noto Sans Symbols" w:cs="Noto Sans Symbols" w:eastAsia="Noto Sans Symbols" w:hAnsi="Noto Sans Symbols"/>
      </w:rPr>
    </w:lvl>
    <w:lvl w:ilvl="6">
      <w:start w:val="1"/>
      <w:numFmt w:val="bullet"/>
      <w:lvlText w:val="●"/>
      <w:lvlJc w:val="left"/>
      <w:pPr>
        <w:ind w:left="5130" w:hanging="360"/>
      </w:pPr>
      <w:rPr>
        <w:rFonts w:ascii="Noto Sans Symbols" w:cs="Noto Sans Symbols" w:eastAsia="Noto Sans Symbols" w:hAnsi="Noto Sans Symbols"/>
      </w:rPr>
    </w:lvl>
    <w:lvl w:ilvl="7">
      <w:start w:val="1"/>
      <w:numFmt w:val="bullet"/>
      <w:lvlText w:val="o"/>
      <w:lvlJc w:val="left"/>
      <w:pPr>
        <w:ind w:left="5850" w:hanging="360"/>
      </w:pPr>
      <w:rPr>
        <w:rFonts w:ascii="Courier New" w:cs="Courier New" w:eastAsia="Courier New" w:hAnsi="Courier New"/>
      </w:rPr>
    </w:lvl>
    <w:lvl w:ilvl="8">
      <w:start w:val="1"/>
      <w:numFmt w:val="bullet"/>
      <w:lvlText w:val="▪"/>
      <w:lvlJc w:val="left"/>
      <w:pPr>
        <w:ind w:left="657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F62A95"/>
    <w:pPr>
      <w:tabs>
        <w:tab w:val="center" w:pos="4680"/>
        <w:tab w:val="right" w:pos="9360"/>
      </w:tabs>
      <w:spacing w:after="0" w:line="240" w:lineRule="auto"/>
    </w:pPr>
  </w:style>
  <w:style w:type="character" w:styleId="HeaderChar" w:customStyle="1">
    <w:name w:val="Header Char"/>
    <w:basedOn w:val="DefaultParagraphFont"/>
    <w:link w:val="Header"/>
    <w:uiPriority w:val="99"/>
    <w:rsid w:val="00F62A95"/>
  </w:style>
  <w:style w:type="paragraph" w:styleId="Footer">
    <w:name w:val="footer"/>
    <w:basedOn w:val="Normal"/>
    <w:link w:val="FooterChar"/>
    <w:uiPriority w:val="99"/>
    <w:unhideWhenUsed w:val="1"/>
    <w:rsid w:val="00F62A95"/>
    <w:pPr>
      <w:tabs>
        <w:tab w:val="center" w:pos="4680"/>
        <w:tab w:val="right" w:pos="9360"/>
      </w:tabs>
      <w:spacing w:after="0" w:line="240" w:lineRule="auto"/>
    </w:pPr>
  </w:style>
  <w:style w:type="character" w:styleId="FooterChar" w:customStyle="1">
    <w:name w:val="Footer Char"/>
    <w:basedOn w:val="DefaultParagraphFont"/>
    <w:link w:val="Footer"/>
    <w:uiPriority w:val="99"/>
    <w:rsid w:val="00F62A95"/>
  </w:style>
  <w:style w:type="paragraph" w:styleId="ListParagraph">
    <w:name w:val="List Paragraph"/>
    <w:basedOn w:val="Normal"/>
    <w:uiPriority w:val="34"/>
    <w:qFormat w:val="1"/>
    <w:rsid w:val="00E910C7"/>
    <w:pPr>
      <w:ind w:left="720"/>
      <w:contextualSpacing w:val="1"/>
    </w:pPr>
  </w:style>
  <w:style w:type="table" w:styleId="TableGrid">
    <w:name w:val="Table Grid"/>
    <w:basedOn w:val="TableNormal"/>
    <w:uiPriority w:val="39"/>
    <w:rsid w:val="00863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9+nGUTgxtMFDNTXnJgIudn9lFA==">CgMxLjA4AHIhMVduZkhaX3VxV2VKNXk1S0xsaTlTTUhfVUxEekF5XzF4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2023-04-28T22:12:00Z</dcterms:created>
  <dc:creator>Jaress, Amber Michelle</dc:creator>
</cp:coreProperties>
</file>